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298D2" w14:textId="77777777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МЕТОДИКА ЗА ОЦЕНКА НА ФИНАНСОВИЯ КАПАЦИТЕТ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НА </w:t>
      </w:r>
    </w:p>
    <w:p w14:paraId="0C8D7287" w14:textId="21178362" w:rsidR="0090257B" w:rsidRDefault="0090257B" w:rsidP="00754AE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>КАНДИДАТИТЕ</w:t>
      </w:r>
      <w:r w:rsidR="00FD2C44">
        <w:rPr>
          <w:rFonts w:ascii="Times New Roman" w:hAnsi="Times New Roman" w:cs="Times New Roman"/>
          <w:b/>
          <w:sz w:val="24"/>
          <w:szCs w:val="24"/>
          <w:lang w:val="bg-BG"/>
        </w:rPr>
        <w:t>/ПАРТНЬОРИТЕ</w:t>
      </w: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ПО ОПЕРАТИВНА ПРОГРАМА </w:t>
      </w:r>
    </w:p>
    <w:p w14:paraId="296F6E66" w14:textId="77777777" w:rsidR="00B938A0" w:rsidRPr="0090257B" w:rsidRDefault="0090257B" w:rsidP="00826A81">
      <w:pPr>
        <w:spacing w:after="36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„РАЗВИТИЕ НА ЧОВЕШКИТЕ РЕСУРСИ“ 2014 – 2020 </w:t>
      </w:r>
    </w:p>
    <w:p w14:paraId="32EB123A" w14:textId="77777777" w:rsidR="00AC30D9" w:rsidRPr="00754AE5" w:rsidRDefault="00901460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Регулаторна рамка</w:t>
      </w:r>
    </w:p>
    <w:p w14:paraId="7F27065F" w14:textId="77777777" w:rsidR="00D274CD" w:rsidRDefault="00D274CD" w:rsidP="001D41F5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Настоящата методика за оценка на финансовия капацитет на кандидат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ите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по Оперативна Програма „Развитие на Човешките Ресурси“ 2014 – 2020 г. е разработена в изпълнение на член 125,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3, т.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г) от Регламент 1303/2013, член 196, ал. 1 от Регламент 1268/2012 и член 202, ал.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2 и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 xml:space="preserve">ал.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3 от Регламент 1268/2012</w:t>
      </w:r>
      <w:r w:rsidR="009F705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72C5969" w14:textId="77777777" w:rsidR="00754AE5" w:rsidRPr="00754AE5" w:rsidRDefault="009F705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Изискуеми документи</w:t>
      </w:r>
    </w:p>
    <w:p w14:paraId="7B1479DA" w14:textId="1B532D57" w:rsidR="0070247C" w:rsidRDefault="00FF2795" w:rsidP="00702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При подаване на 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>проектни предложения кандидат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ите</w:t>
      </w:r>
      <w:r w:rsidR="006B6427">
        <w:rPr>
          <w:rFonts w:ascii="Times New Roman" w:hAnsi="Times New Roman" w:cs="Times New Roman"/>
          <w:sz w:val="24"/>
          <w:szCs w:val="24"/>
          <w:lang w:val="bg-BG"/>
        </w:rPr>
        <w:t>/партньорите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трябва да представ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ят</w:t>
      </w:r>
      <w:r w:rsidR="00901460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счетоводен баланс за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предходната</w:t>
      </w:r>
      <w:r w:rsidR="0070247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финансов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годин</w:t>
      </w:r>
      <w:r w:rsidR="00C67A42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553A92">
        <w:rPr>
          <w:rStyle w:val="FootnoteReference"/>
          <w:rFonts w:ascii="Times New Roman" w:hAnsi="Times New Roman" w:cs="Times New Roman"/>
          <w:sz w:val="24"/>
          <w:szCs w:val="24"/>
          <w:lang w:val="bg-BG"/>
        </w:rPr>
        <w:footnoteReference w:id="1"/>
      </w:r>
      <w:r w:rsidR="00550B6F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В случай че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финансовите отчети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за предходната финансова година 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подаден</w:t>
      </w:r>
      <w:r w:rsidR="0070247C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70247C" w:rsidRPr="00211E31">
        <w:rPr>
          <w:rFonts w:ascii="Times New Roman" w:hAnsi="Times New Roman" w:cs="Times New Roman"/>
          <w:sz w:val="24"/>
          <w:szCs w:val="24"/>
          <w:lang w:val="bg-BG"/>
        </w:rPr>
        <w:t xml:space="preserve"> към  Националния статистически институт (НСИ), се извършва служебна проверка от оценителната комисия за посочените стойности за текуща печалба/загуба, собствен капитал и стойност на актива.</w:t>
      </w:r>
    </w:p>
    <w:p w14:paraId="072C462C" w14:textId="60FF3360" w:rsidR="00FD2C44" w:rsidRDefault="00FD2C44" w:rsidP="00FD2C44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кандидат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/партньор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и,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новорегистриран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/новосъздаден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през текущата година организаци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, следва да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 xml:space="preserve"> се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 xml:space="preserve"> приложи </w:t>
      </w:r>
      <w:r w:rsidR="002101F3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2101F3" w:rsidRPr="002101F3">
        <w:rPr>
          <w:rFonts w:ascii="Times New Roman" w:hAnsi="Times New Roman" w:cs="Times New Roman"/>
          <w:sz w:val="24"/>
          <w:szCs w:val="24"/>
          <w:lang w:val="bg-BG"/>
        </w:rPr>
        <w:t xml:space="preserve">четоводен баланс </w:t>
      </w:r>
      <w:r w:rsidRPr="00FD2C44">
        <w:rPr>
          <w:rFonts w:ascii="Times New Roman" w:hAnsi="Times New Roman" w:cs="Times New Roman"/>
          <w:sz w:val="24"/>
          <w:szCs w:val="24"/>
          <w:lang w:val="bg-BG"/>
        </w:rPr>
        <w:t>в секция 12 на ИСУН 2020 за периода от регистрацията на кандидата/партньора до последната дата на месеца, предхождащ месеца на кандидатстване.</w:t>
      </w:r>
    </w:p>
    <w:p w14:paraId="3962E2BC" w14:textId="3A3E5C40" w:rsidR="006B6427" w:rsidRPr="00FD2C44" w:rsidRDefault="006B6427" w:rsidP="00FD2C44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За кандидати/партньори общини се извършва служебна проверка в Закона за държавния бюджет за текущата година.</w:t>
      </w:r>
    </w:p>
    <w:p w14:paraId="714F8CED" w14:textId="77777777" w:rsidR="00FD2C44" w:rsidRDefault="00FD2C44" w:rsidP="0070247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1B6EBE07" w14:textId="1E461E47" w:rsidR="00433628" w:rsidRPr="0090257B" w:rsidRDefault="00433628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027CE4D1" w14:textId="77777777" w:rsidR="006369D2" w:rsidRPr="00754AE5" w:rsidRDefault="006369D2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кандидатите</w:t>
      </w:r>
    </w:p>
    <w:p w14:paraId="0C62EA57" w14:textId="77777777" w:rsidR="006369D2" w:rsidRPr="0090257B" w:rsidRDefault="006369D2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Кандидатите трябва да разполага със стабилни и достатъчни източници на финансиране за поддържане на своята дейност през целия период на изпълнение на проекта, за който се отпускат безвъзмездните средства, и за участие в неговото финансиране.</w:t>
      </w:r>
    </w:p>
    <w:p w14:paraId="49C4B8DD" w14:textId="77777777" w:rsidR="005751E8" w:rsidRDefault="005B1B90" w:rsidP="00CF1C47">
      <w:pPr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случай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че оценителната комисия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установи, че са налице индикации за затруднено финансово положение на кандидата,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комисията 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>ще отхвърли проектното предложени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6369D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етап „Административно съответствие и допустимост“</w:t>
      </w:r>
      <w:r w:rsidR="00B25DEA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AF4DC08" w14:textId="77777777" w:rsidR="00B25DEA" w:rsidRPr="00754AE5" w:rsidRDefault="00B25DEA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Въведение в разработването на метод</w:t>
      </w:r>
      <w:r w:rsidR="00754AE5">
        <w:rPr>
          <w:rFonts w:ascii="Times New Roman" w:hAnsi="Times New Roman" w:cs="Times New Roman"/>
          <w:b/>
          <w:sz w:val="24"/>
          <w:szCs w:val="24"/>
          <w:lang w:val="bg-BG"/>
        </w:rPr>
        <w:t>иката</w:t>
      </w:r>
    </w:p>
    <w:p w14:paraId="3EA9DCB9" w14:textId="77777777" w:rsidR="00492ACD" w:rsidRPr="0090257B" w:rsidRDefault="005A2CD6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lastRenderedPageBreak/>
        <w:t>Оценката за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финансова стабилност дава </w:t>
      </w:r>
      <w:r w:rsidR="00D10335" w:rsidRPr="0090257B">
        <w:rPr>
          <w:rFonts w:ascii="Times New Roman" w:hAnsi="Times New Roman" w:cs="Times New Roman"/>
          <w:sz w:val="24"/>
          <w:szCs w:val="24"/>
          <w:lang w:val="bg-BG"/>
        </w:rPr>
        <w:t>информация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за качеството на финансовата структура на кандидата и предоставя увереност, че той ще бъде в състояние да изпълни проектните дейности за периода на действие на договора.</w:t>
      </w:r>
    </w:p>
    <w:p w14:paraId="1585796E" w14:textId="77777777" w:rsidR="00102707" w:rsidRPr="0090257B" w:rsidRDefault="00492ACD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Оценката се основава на няколко коефициента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</w:p>
    <w:p w14:paraId="3C902ABB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финансова независимост</w:t>
      </w:r>
    </w:p>
    <w:p w14:paraId="01C42380" w14:textId="77777777" w:rsidR="00102707" w:rsidRPr="0090257B" w:rsidRDefault="003F4DBC" w:rsidP="00754AE5">
      <w:pPr>
        <w:pStyle w:val="ListParagraph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коефициент за рентабилност</w:t>
      </w:r>
      <w:r w:rsidR="00492ACD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5C9297A0" w14:textId="77777777" w:rsidR="005E77DC" w:rsidRPr="0090257B" w:rsidRDefault="003F4DBC" w:rsidP="00CF1C47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Методика</w:t>
      </w:r>
      <w:r w:rsidR="00305CE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отчита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специфични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характеристики на кандидатите и може да бъде използвана за организации с различни юридически форми от търговски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дружества</w:t>
      </w:r>
      <w:r w:rsidR="005E77DC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 организации с нестопанска цел.</w:t>
      </w:r>
    </w:p>
    <w:p w14:paraId="7ECFC2D2" w14:textId="77777777" w:rsidR="009264A6" w:rsidRPr="00754AE5" w:rsidRDefault="003F4DBC" w:rsidP="00754AE5">
      <w:pPr>
        <w:pStyle w:val="ListParagraph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sz w:val="24"/>
          <w:szCs w:val="24"/>
          <w:lang w:val="bg-BG"/>
        </w:rPr>
        <w:t>Методика</w:t>
      </w:r>
    </w:p>
    <w:p w14:paraId="0371E023" w14:textId="77777777" w:rsidR="009264A6" w:rsidRPr="0090257B" w:rsidRDefault="00754AE5" w:rsidP="000229E1">
      <w:pPr>
        <w:spacing w:after="120" w:line="360" w:lineRule="auto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оефициенти</w:t>
      </w:r>
      <w:r>
        <w:rPr>
          <w:rFonts w:ascii="Times New Roman" w:hAnsi="Times New Roman" w:cs="Times New Roman"/>
          <w:sz w:val="24"/>
          <w:szCs w:val="24"/>
          <w:lang w:val="bg-BG"/>
        </w:rPr>
        <w:t>те, които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се използват за определяне на нивото на увереност произтичаща от процеса на оценка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са следните</w:t>
      </w:r>
      <w:r w:rsidR="009264A6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42B05D48" w14:textId="77777777" w:rsidR="009264A6" w:rsidRPr="00E2541E" w:rsidRDefault="009264A6" w:rsidP="00754AE5">
      <w:pPr>
        <w:pStyle w:val="ListParagraph"/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Оценка на финансовата </w:t>
      </w:r>
      <w:r w:rsidRPr="00E2541E">
        <w:rPr>
          <w:rFonts w:ascii="Times New Roman" w:hAnsi="Times New Roman" w:cs="Times New Roman"/>
          <w:b/>
          <w:i/>
          <w:sz w:val="24"/>
          <w:szCs w:val="24"/>
          <w:lang w:val="bg-BG"/>
        </w:rPr>
        <w:t>стабилност</w:t>
      </w:r>
    </w:p>
    <w:p w14:paraId="02F76056" w14:textId="77777777" w:rsidR="009264A6" w:rsidRPr="00E2541E" w:rsidRDefault="009264A6" w:rsidP="00754AE5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  <w:lang w:val="bg-BG"/>
        </w:rPr>
      </w:pPr>
      <w:r w:rsidRPr="00E2541E">
        <w:rPr>
          <w:rFonts w:ascii="Times New Roman" w:hAnsi="Times New Roman" w:cs="Times New Roman"/>
          <w:sz w:val="24"/>
          <w:szCs w:val="24"/>
          <w:lang w:val="bg-BG"/>
        </w:rPr>
        <w:t>Тази оценка е основана на следните индикатори:</w:t>
      </w:r>
    </w:p>
    <w:p w14:paraId="619AF65F" w14:textId="0AC0FFA3" w:rsidR="00E976B1" w:rsidRPr="004770D3" w:rsidRDefault="004770D3" w:rsidP="00B1472B">
      <w:pPr>
        <w:spacing w:before="120" w:after="120" w:line="360" w:lineRule="auto"/>
        <w:jc w:val="both"/>
        <w:rPr>
          <w:rFonts w:ascii="Times New Roman" w:eastAsiaTheme="minorEastAsia" w:hAnsi="Times New Roman" w:cs="Times New Roman"/>
          <w:sz w:val="32"/>
          <w:szCs w:val="32"/>
          <w:lang w:val="bg-BG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I.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Финансова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 xml:space="preserve"> </m:t>
          </m:r>
          <m:r>
            <w:rPr>
              <w:rFonts w:ascii="Cambria Math" w:eastAsia="Times New Roman" w:hAnsi="Cambria Math" w:cs="Times New Roman"/>
              <w:sz w:val="36"/>
              <w:szCs w:val="32"/>
              <w:lang w:val="bg-BG"/>
            </w:rPr>
            <m:t>независимост</m:t>
          </m:r>
          <m:r>
            <w:rPr>
              <w:rFonts w:ascii="Cambria Math" w:eastAsia="Times New Roman" w:hAnsi="Cambria Math" w:cs="Times New Roman"/>
              <w:sz w:val="32"/>
              <w:szCs w:val="32"/>
              <w:lang w:val="bg-BG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Собствен капитал (код</m:t>
              </m:r>
              <m:r>
                <w:rPr>
                  <w:rStyle w:val="FootnoteReference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2"/>
              </m:r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 xml:space="preserve"> 05000)</m:t>
              </m:r>
            </m:num>
            <m:den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bg-BG"/>
                </w:rPr>
                <m:t>Сума на актива (код 04500)</m:t>
              </m:r>
              <m:r>
                <w:rPr>
                  <w:rStyle w:val="FootnoteReference"/>
                  <w:rFonts w:ascii="Cambria Math" w:eastAsia="Times New Roman" w:hAnsi="Cambria Math" w:cs="Times New Roman"/>
                  <w:i/>
                  <w:sz w:val="32"/>
                  <w:szCs w:val="32"/>
                  <w:lang w:val="bg-BG"/>
                </w:rPr>
                <w:footnoteReference w:id="3"/>
              </m:r>
            </m:den>
          </m:f>
        </m:oMath>
      </m:oMathPara>
    </w:p>
    <w:p w14:paraId="29DDC4F5" w14:textId="77777777" w:rsidR="004770D3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14:paraId="489F4D65" w14:textId="7CBA4174" w:rsidR="00E976B1" w:rsidRDefault="004770D3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6C0C">
        <w:rPr>
          <w:rFonts w:ascii="Times New Roman" w:eastAsiaTheme="minorEastAsia" w:hAnsi="Times New Roman" w:cs="Times New Roman"/>
          <w:sz w:val="36"/>
          <w:szCs w:val="36"/>
        </w:rPr>
        <w:t>II</w:t>
      </w:r>
      <w:r w:rsidRPr="00AC6E83">
        <w:rPr>
          <w:rFonts w:ascii="Times New Roman" w:eastAsiaTheme="minorEastAsia" w:hAnsi="Times New Roman" w:cs="Times New Roman"/>
          <w:sz w:val="24"/>
          <w:szCs w:val="24"/>
          <w:lang w:val="bg-BG"/>
        </w:rPr>
        <w:t>.</w:t>
      </w:r>
      <w:r w:rsidRPr="00AC6E83">
        <w:rPr>
          <w:rFonts w:ascii="Times New Roman" w:eastAsiaTheme="minorEastAsia" w:hAnsi="Times New Roman" w:cs="Times New Roman"/>
          <w:sz w:val="36"/>
          <w:szCs w:val="36"/>
          <w:lang w:val="bg-BG"/>
        </w:rPr>
        <w:t xml:space="preserve"> </w:t>
      </w:r>
      <m:oMath>
        <m:r>
          <w:rPr>
            <w:rFonts w:ascii="Cambria Math" w:eastAsia="Times New Roman" w:hAnsi="Cambria Math" w:cs="Times New Roman"/>
            <w:sz w:val="40"/>
            <w:szCs w:val="36"/>
            <w:lang w:val="bg-BG"/>
          </w:rPr>
          <m:t>Рентабилност=</m:t>
        </m:r>
        <m:f>
          <m:fPr>
            <m:ctrlP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Печалба или загуба (код 05600)</m:t>
            </m:r>
          </m:num>
          <m:den>
            <m:r>
              <w:rPr>
                <w:rFonts w:ascii="Cambria Math" w:eastAsia="Times New Roman" w:hAnsi="Cambria Math" w:cs="Times New Roman"/>
                <w:sz w:val="40"/>
                <w:szCs w:val="36"/>
                <w:lang w:val="bg-BG"/>
              </w:rPr>
              <m:t>Сума на актива (код 04500)</m:t>
            </m:r>
          </m:den>
        </m:f>
      </m:oMath>
    </w:p>
    <w:p w14:paraId="40838203" w14:textId="501B7689" w:rsidR="003A4DF2" w:rsidRDefault="00BA0182" w:rsidP="00B1472B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Коефициентът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 отразява размера на собствения капитал като 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>отношение към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общата сума на </w:t>
      </w:r>
      <w:r w:rsidR="0021304A">
        <w:rPr>
          <w:rFonts w:ascii="Times New Roman" w:hAnsi="Times New Roman" w:cs="Times New Roman"/>
          <w:sz w:val="24"/>
          <w:szCs w:val="24"/>
          <w:lang w:val="bg-BG"/>
        </w:rPr>
        <w:t>активите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. Това показва до каква степен организациите зависят от финансиране от трета страна. Колкото </w:t>
      </w:r>
      <w:r w:rsidR="00471FC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по-близо съотношението </w:t>
      </w:r>
      <w:r w:rsidR="00471FC2">
        <w:rPr>
          <w:rFonts w:ascii="Times New Roman" w:hAnsi="Times New Roman" w:cs="Times New Roman"/>
          <w:sz w:val="24"/>
          <w:szCs w:val="24"/>
          <w:lang w:val="bg-BG"/>
        </w:rPr>
        <w:t>до 1, толкова по-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финансово независима е организацията и има по-голяма автономия за управление. Колкото е по-близо съотношението до 0, толкова по-зависима е организацията е от финансиране от трета страна. Колкото по-нисък е коеф</w:t>
      </w:r>
      <w:r w:rsidR="00996CD1">
        <w:rPr>
          <w:rFonts w:ascii="Times New Roman" w:hAnsi="Times New Roman" w:cs="Times New Roman"/>
          <w:sz w:val="24"/>
          <w:szCs w:val="24"/>
          <w:lang w:val="bg-BG"/>
        </w:rPr>
        <w:t>ициентът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финансова независимост, толкова по-трудно ще бъде да получат кредити и </w:t>
      </w:r>
      <w:r w:rsidR="009F4130" w:rsidRPr="0090257B">
        <w:rPr>
          <w:rFonts w:ascii="Times New Roman" w:hAnsi="Times New Roman" w:cs="Times New Roman"/>
          <w:sz w:val="24"/>
          <w:szCs w:val="24"/>
          <w:lang w:val="bg-BG"/>
        </w:rPr>
        <w:t>външно финансиране</w:t>
      </w:r>
      <w:r w:rsidR="003A4DF2"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101F7673" w14:textId="77777777" w:rsidR="004E0E1E" w:rsidRDefault="00996CD1" w:rsidP="000229E1">
      <w:pPr>
        <w:tabs>
          <w:tab w:val="left" w:pos="426"/>
        </w:tabs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>Коефициентът</w:t>
      </w:r>
      <w:r w:rsidR="004E0E1E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на рентабилност измерва ефективността с която организациите използват своите активи.</w:t>
      </w:r>
    </w:p>
    <w:p w14:paraId="220FC696" w14:textId="77777777" w:rsidR="004E0E1E" w:rsidRPr="00754AE5" w:rsidRDefault="003F4DBC" w:rsidP="000229E1">
      <w:pPr>
        <w:pStyle w:val="ListParagraph"/>
        <w:numPr>
          <w:ilvl w:val="0"/>
          <w:numId w:val="11"/>
        </w:numPr>
        <w:spacing w:after="12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4E0E1E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Оценка</w:t>
      </w:r>
    </w:p>
    <w:p w14:paraId="524233CB" w14:textId="77777777" w:rsidR="004E0E1E" w:rsidRPr="0090257B" w:rsidRDefault="004E0E1E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За да бъде определено нивото (лошо</w:t>
      </w:r>
      <w:r w:rsidR="00B6016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или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 добро) на финансовата стабилност на кандидатите </w:t>
      </w:r>
      <w:r w:rsidR="001D41F5">
        <w:rPr>
          <w:rFonts w:ascii="Times New Roman" w:hAnsi="Times New Roman" w:cs="Times New Roman"/>
          <w:sz w:val="24"/>
          <w:szCs w:val="24"/>
          <w:lang w:val="bg-BG"/>
        </w:rPr>
        <w:t xml:space="preserve">се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използва следната таблица:</w:t>
      </w: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3119"/>
        <w:gridCol w:w="1700"/>
      </w:tblGrid>
      <w:tr w:rsidR="004E0E1E" w:rsidRPr="0090257B" w14:paraId="585973A8" w14:textId="77777777" w:rsidTr="00754AE5">
        <w:tc>
          <w:tcPr>
            <w:tcW w:w="3544" w:type="dxa"/>
            <w:vAlign w:val="center"/>
          </w:tcPr>
          <w:p w14:paraId="50C9E1A4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Индикатори</w:t>
            </w:r>
          </w:p>
        </w:tc>
        <w:tc>
          <w:tcPr>
            <w:tcW w:w="3119" w:type="dxa"/>
            <w:vAlign w:val="center"/>
          </w:tcPr>
          <w:p w14:paraId="6BE223D2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Резултат</w:t>
            </w:r>
          </w:p>
        </w:tc>
        <w:tc>
          <w:tcPr>
            <w:tcW w:w="1700" w:type="dxa"/>
            <w:vAlign w:val="center"/>
          </w:tcPr>
          <w:p w14:paraId="5D8527EC" w14:textId="77777777" w:rsidR="004E0E1E" w:rsidRPr="0090257B" w:rsidRDefault="004313F7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Точки</w:t>
            </w:r>
          </w:p>
        </w:tc>
      </w:tr>
      <w:tr w:rsidR="004E0E1E" w:rsidRPr="0090257B" w14:paraId="44056CAB" w14:textId="77777777" w:rsidTr="00754AE5">
        <w:tc>
          <w:tcPr>
            <w:tcW w:w="3544" w:type="dxa"/>
            <w:vAlign w:val="center"/>
          </w:tcPr>
          <w:p w14:paraId="7AB6D596" w14:textId="77777777" w:rsidR="004E0E1E" w:rsidRPr="0090257B" w:rsidRDefault="00BF0B9A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Финансова независимост (ФН)</w:t>
            </w:r>
          </w:p>
        </w:tc>
        <w:tc>
          <w:tcPr>
            <w:tcW w:w="3119" w:type="dxa"/>
            <w:vAlign w:val="center"/>
          </w:tcPr>
          <w:p w14:paraId="532CC85D" w14:textId="77777777" w:rsidR="004E0E1E" w:rsidRPr="005B1B90" w:rsidRDefault="004313F7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="004E0E1E"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≥ 0,5</w:t>
            </w:r>
          </w:p>
          <w:p w14:paraId="780F6EC6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0,4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0,5</w:t>
            </w:r>
          </w:p>
          <w:p w14:paraId="03199DB7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0,3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0,4</w:t>
            </w:r>
          </w:p>
          <w:p w14:paraId="08C42BA8" w14:textId="77777777" w:rsidR="004E0E1E" w:rsidRPr="005B1B90" w:rsidRDefault="004E0E1E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0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</w:t>
            </w:r>
            <w:r w:rsidRPr="005B1B9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&lt; 0,3</w:t>
            </w:r>
          </w:p>
          <w:p w14:paraId="68CB8C05" w14:textId="77777777" w:rsidR="004E0E1E" w:rsidRPr="0090257B" w:rsidRDefault="009F4130" w:rsidP="00754AE5">
            <w:pPr>
              <w:keepNext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ФН е отрицателно число</w:t>
            </w:r>
          </w:p>
        </w:tc>
        <w:tc>
          <w:tcPr>
            <w:tcW w:w="1700" w:type="dxa"/>
            <w:vAlign w:val="center"/>
          </w:tcPr>
          <w:p w14:paraId="63C7914B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7A1DD3F7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</w:t>
            </w:r>
          </w:p>
          <w:p w14:paraId="6559B63F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3DB1711E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1</w:t>
            </w:r>
          </w:p>
          <w:p w14:paraId="5B4D6AC2" w14:textId="77777777" w:rsidR="004E0E1E" w:rsidRPr="0090257B" w:rsidRDefault="004E0E1E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-2</w:t>
            </w:r>
          </w:p>
        </w:tc>
      </w:tr>
      <w:tr w:rsidR="004E0E1E" w:rsidRPr="0090257B" w14:paraId="5BB6BDD0" w14:textId="77777777" w:rsidTr="00754AE5">
        <w:trPr>
          <w:cantSplit/>
        </w:trPr>
        <w:tc>
          <w:tcPr>
            <w:tcW w:w="3544" w:type="dxa"/>
            <w:vAlign w:val="center"/>
          </w:tcPr>
          <w:p w14:paraId="1F26ADF2" w14:textId="77777777" w:rsidR="004E0E1E" w:rsidRPr="0090257B" w:rsidRDefault="00E83B40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II.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</w:p>
        </w:tc>
        <w:tc>
          <w:tcPr>
            <w:tcW w:w="3119" w:type="dxa"/>
            <w:vAlign w:val="center"/>
          </w:tcPr>
          <w:p w14:paraId="29EBDDE1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≥ 2%</w:t>
            </w:r>
          </w:p>
          <w:p w14:paraId="58ABC6B8" w14:textId="77777777" w:rsidR="004E0E1E" w:rsidRPr="0090257B" w:rsidRDefault="004E0E1E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- 2% ≤ 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="004313F7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2%</w:t>
            </w:r>
          </w:p>
          <w:p w14:paraId="50F373B5" w14:textId="77777777" w:rsidR="004E0E1E" w:rsidRPr="0090257B" w:rsidRDefault="004313F7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Рентабилност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E0E1E"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&lt; - 2%</w:t>
            </w:r>
          </w:p>
        </w:tc>
        <w:tc>
          <w:tcPr>
            <w:tcW w:w="1700" w:type="dxa"/>
            <w:vAlign w:val="center"/>
          </w:tcPr>
          <w:p w14:paraId="26AAD20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4</w:t>
            </w:r>
          </w:p>
          <w:p w14:paraId="02491AC3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2</w:t>
            </w:r>
          </w:p>
          <w:p w14:paraId="49945CBE" w14:textId="77777777" w:rsidR="004E0E1E" w:rsidRPr="0090257B" w:rsidRDefault="004E0E1E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0</w:t>
            </w:r>
          </w:p>
        </w:tc>
      </w:tr>
    </w:tbl>
    <w:p w14:paraId="0C9CCEC6" w14:textId="77777777" w:rsidR="004313F7" w:rsidRDefault="003E50D7" w:rsidP="00D56C7A">
      <w:pPr>
        <w:spacing w:before="240"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Сумата на точките за всеки индикатор ще ни даде обща оценка за финансовата стабилност на кандидата.</w:t>
      </w:r>
    </w:p>
    <w:p w14:paraId="76B53F38" w14:textId="77777777" w:rsidR="00754AE5" w:rsidRPr="0090257B" w:rsidRDefault="00754AE5" w:rsidP="00754AE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6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701"/>
        <w:gridCol w:w="1417"/>
      </w:tblGrid>
      <w:tr w:rsidR="00754AE5" w:rsidRPr="0090257B" w14:paraId="66565FD5" w14:textId="77777777" w:rsidTr="00754AE5">
        <w:tc>
          <w:tcPr>
            <w:tcW w:w="3402" w:type="dxa"/>
            <w:vAlign w:val="center"/>
          </w:tcPr>
          <w:p w14:paraId="22473783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Оценка на финансовата стабилност</w:t>
            </w:r>
          </w:p>
        </w:tc>
        <w:tc>
          <w:tcPr>
            <w:tcW w:w="1701" w:type="dxa"/>
            <w:vAlign w:val="center"/>
          </w:tcPr>
          <w:p w14:paraId="21297349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Лоша</w:t>
            </w:r>
          </w:p>
        </w:tc>
        <w:tc>
          <w:tcPr>
            <w:tcW w:w="1417" w:type="dxa"/>
            <w:vAlign w:val="center"/>
          </w:tcPr>
          <w:p w14:paraId="4E387110" w14:textId="77777777" w:rsidR="00754AE5" w:rsidRPr="0090257B" w:rsidRDefault="00754AE5" w:rsidP="00754AE5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Добра</w:t>
            </w:r>
          </w:p>
        </w:tc>
      </w:tr>
      <w:tr w:rsidR="00754AE5" w:rsidRPr="0090257B" w14:paraId="16D77281" w14:textId="77777777" w:rsidTr="00754AE5">
        <w:tc>
          <w:tcPr>
            <w:tcW w:w="3402" w:type="dxa"/>
            <w:vAlign w:val="center"/>
          </w:tcPr>
          <w:p w14:paraId="1AA7533C" w14:textId="77777777" w:rsidR="00754AE5" w:rsidRPr="0090257B" w:rsidRDefault="00754AE5" w:rsidP="00754AE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Общ брой точки</w:t>
            </w:r>
          </w:p>
        </w:tc>
        <w:tc>
          <w:tcPr>
            <w:tcW w:w="1701" w:type="dxa"/>
            <w:vAlign w:val="center"/>
          </w:tcPr>
          <w:p w14:paraId="2030EB02" w14:textId="77777777" w:rsidR="00754AE5" w:rsidRPr="0090257B" w:rsidRDefault="00754AE5" w:rsidP="0030509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2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 малко</w:t>
            </w:r>
          </w:p>
        </w:tc>
        <w:tc>
          <w:tcPr>
            <w:tcW w:w="1417" w:type="dxa"/>
            <w:vAlign w:val="center"/>
          </w:tcPr>
          <w:p w14:paraId="0FB466C6" w14:textId="77777777" w:rsidR="00754AE5" w:rsidRPr="0090257B" w:rsidRDefault="00754AE5" w:rsidP="00754AE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90257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 повече</w:t>
            </w:r>
          </w:p>
        </w:tc>
      </w:tr>
    </w:tbl>
    <w:p w14:paraId="625077A8" w14:textId="77777777" w:rsidR="003E50D7" w:rsidRPr="00754AE5" w:rsidRDefault="003F4DBC" w:rsidP="00F1576F">
      <w:pPr>
        <w:pStyle w:val="ListParagraph"/>
        <w:numPr>
          <w:ilvl w:val="0"/>
          <w:numId w:val="11"/>
        </w:numPr>
        <w:spacing w:before="480" w:after="240" w:line="360" w:lineRule="auto"/>
        <w:ind w:left="714" w:hanging="357"/>
        <w:contextualSpacing w:val="0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9B6BA8" w:rsidRPr="00754AE5">
        <w:rPr>
          <w:rFonts w:ascii="Times New Roman" w:hAnsi="Times New Roman" w:cs="Times New Roman"/>
          <w:b/>
          <w:i/>
          <w:sz w:val="24"/>
          <w:szCs w:val="24"/>
          <w:lang w:val="bg-BG"/>
        </w:rPr>
        <w:t>Тълкуване на резултатите</w:t>
      </w:r>
    </w:p>
    <w:p w14:paraId="440B5C18" w14:textId="77777777" w:rsidR="009B6BA8" w:rsidRPr="0090257B" w:rsidRDefault="009B6BA8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На осн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вата на общата оценка кандидатите попадат в </w:t>
      </w:r>
      <w:r w:rsidR="00540FE6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две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основни категории</w:t>
      </w:r>
      <w:r w:rsidR="00D86AD8" w:rsidRPr="0090257B">
        <w:rPr>
          <w:rFonts w:ascii="Times New Roman" w:hAnsi="Times New Roman" w:cs="Times New Roman"/>
          <w:sz w:val="24"/>
          <w:szCs w:val="24"/>
          <w:lang w:val="bg-BG"/>
        </w:rPr>
        <w:t>:</w:t>
      </w:r>
    </w:p>
    <w:p w14:paraId="02D8EC6C" w14:textId="77777777" w:rsidR="00D86AD8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3F4DBC"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Добра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финансова стабилност</w:t>
      </w:r>
    </w:p>
    <w:p w14:paraId="56F2ADB2" w14:textId="77777777" w:rsidR="00067A31" w:rsidRPr="0090257B" w:rsidRDefault="00067A31" w:rsidP="00683044">
      <w:pPr>
        <w:pStyle w:val="ListParagraph"/>
        <w:spacing w:after="24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Кандидатът демонстрира стабилен финансов профил. Изпълнени са условията за отпускане на безвъзмездна </w:t>
      </w:r>
      <w:r w:rsidR="00102707"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финансова 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помощ при нисък риск за средствата 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предоставяни от ЕС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14:paraId="36FE63ED" w14:textId="77777777" w:rsidR="00067A31" w:rsidRPr="0090257B" w:rsidRDefault="00102707" w:rsidP="00754AE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</w:t>
      </w:r>
      <w:r w:rsidR="00067A31" w:rsidRPr="0090257B">
        <w:rPr>
          <w:rFonts w:ascii="Times New Roman" w:hAnsi="Times New Roman" w:cs="Times New Roman"/>
          <w:b/>
          <w:sz w:val="24"/>
          <w:szCs w:val="24"/>
          <w:lang w:val="bg-BG"/>
        </w:rPr>
        <w:t>Лоша финансова стабилност</w:t>
      </w:r>
    </w:p>
    <w:p w14:paraId="584C58E8" w14:textId="77777777" w:rsidR="00C4321A" w:rsidRPr="0090257B" w:rsidRDefault="00FD54FA" w:rsidP="001D41F5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0257B">
        <w:rPr>
          <w:rFonts w:ascii="Times New Roman" w:hAnsi="Times New Roman" w:cs="Times New Roman"/>
          <w:sz w:val="24"/>
          <w:szCs w:val="24"/>
          <w:lang w:val="bg-BG"/>
        </w:rPr>
        <w:t>Оценителн</w:t>
      </w:r>
      <w:r w:rsidR="00754AE5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90257B">
        <w:rPr>
          <w:rFonts w:ascii="Times New Roman" w:hAnsi="Times New Roman" w:cs="Times New Roman"/>
          <w:sz w:val="24"/>
          <w:szCs w:val="24"/>
          <w:lang w:val="bg-BG"/>
        </w:rPr>
        <w:t xml:space="preserve">та комисия отхвърля </w:t>
      </w:r>
      <w:r w:rsidR="003F4DBC" w:rsidRPr="0090257B">
        <w:rPr>
          <w:rFonts w:ascii="Times New Roman" w:hAnsi="Times New Roman" w:cs="Times New Roman"/>
          <w:sz w:val="24"/>
          <w:szCs w:val="24"/>
          <w:lang w:val="bg-BG"/>
        </w:rPr>
        <w:t>проектното предложение на кандидата на етап „Административно съответствие и допустимост“.</w:t>
      </w:r>
    </w:p>
    <w:sectPr w:rsidR="00C4321A" w:rsidRPr="0090257B" w:rsidSect="000229E1">
      <w:pgSz w:w="12240" w:h="15840"/>
      <w:pgMar w:top="709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2E68B" w14:textId="77777777" w:rsidR="00EB2D52" w:rsidRDefault="00EB2D52" w:rsidP="00B938A0">
      <w:pPr>
        <w:spacing w:after="0" w:line="240" w:lineRule="auto"/>
      </w:pPr>
      <w:r>
        <w:separator/>
      </w:r>
    </w:p>
  </w:endnote>
  <w:endnote w:type="continuationSeparator" w:id="0">
    <w:p w14:paraId="56E59F16" w14:textId="77777777" w:rsidR="00EB2D52" w:rsidRDefault="00EB2D52" w:rsidP="00B9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DE765" w14:textId="77777777" w:rsidR="00EB2D52" w:rsidRDefault="00EB2D52" w:rsidP="00B938A0">
      <w:pPr>
        <w:spacing w:after="0" w:line="240" w:lineRule="auto"/>
      </w:pPr>
      <w:r>
        <w:separator/>
      </w:r>
    </w:p>
  </w:footnote>
  <w:footnote w:type="continuationSeparator" w:id="0">
    <w:p w14:paraId="0D16F081" w14:textId="77777777" w:rsidR="00EB2D52" w:rsidRDefault="00EB2D52" w:rsidP="00B938A0">
      <w:pPr>
        <w:spacing w:after="0" w:line="240" w:lineRule="auto"/>
      </w:pPr>
      <w:r>
        <w:continuationSeparator/>
      </w:r>
    </w:p>
  </w:footnote>
  <w:footnote w:id="1">
    <w:p w14:paraId="7424DEC7" w14:textId="77777777" w:rsidR="00553A92" w:rsidRPr="00AA7520" w:rsidRDefault="00553A92" w:rsidP="00553A9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зависимост от предвиденото в Условията за кандидатстване по конкретната процедура. </w:t>
      </w:r>
    </w:p>
  </w:footnote>
  <w:footnote w:id="2">
    <w:p w14:paraId="291BC6C4" w14:textId="5B74D308" w:rsidR="00DB4FBF" w:rsidRPr="007632C1" w:rsidRDefault="00DB4FBF">
      <w:pPr>
        <w:pStyle w:val="FootnoteText"/>
        <w:rPr>
          <w:rFonts w:ascii="Times New Roman" w:hAnsi="Times New Roman" w:cs="Times New Roman"/>
          <w:lang w:val="bg-BG"/>
        </w:rPr>
      </w:pPr>
      <w:r>
        <w:rPr>
          <w:rStyle w:val="FootnoteReference"/>
        </w:rPr>
        <w:footnoteRef/>
      </w:r>
      <w:r w:rsidRPr="007632C1">
        <w:rPr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>Кодовете са данни от счетоводния баланс</w:t>
      </w:r>
    </w:p>
  </w:footnote>
  <w:footnote w:id="3">
    <w:p w14:paraId="1F796439" w14:textId="3A0897AA" w:rsidR="00DB4FBF" w:rsidRPr="00DB4FBF" w:rsidRDefault="00DB4FBF" w:rsidP="00DB4FBF">
      <w:pPr>
        <w:pStyle w:val="FootnoteText"/>
        <w:rPr>
          <w:rFonts w:ascii="Times New Roman" w:hAnsi="Times New Roman" w:cs="Times New Roman"/>
          <w:lang w:val="bg-BG"/>
        </w:rPr>
      </w:pPr>
      <w:r w:rsidRPr="007632C1">
        <w:rPr>
          <w:rStyle w:val="FootnoteReference"/>
          <w:rFonts w:ascii="Times New Roman" w:hAnsi="Times New Roman" w:cs="Times New Roman"/>
        </w:rPr>
        <w:footnoteRef/>
      </w:r>
      <w:r w:rsidRPr="007632C1">
        <w:rPr>
          <w:rFonts w:ascii="Times New Roman" w:hAnsi="Times New Roman" w:cs="Times New Roman"/>
          <w:lang w:val="bg-BG"/>
        </w:rPr>
        <w:t xml:space="preserve"> </w:t>
      </w:r>
      <w:r w:rsidRPr="00DB4FBF">
        <w:rPr>
          <w:rFonts w:ascii="Times New Roman" w:hAnsi="Times New Roman" w:cs="Times New Roman"/>
          <w:lang w:val="bg-BG"/>
        </w:rPr>
        <w:t xml:space="preserve">В случаите, когато </w:t>
      </w:r>
      <w:r w:rsidRPr="007632C1">
        <w:rPr>
          <w:rFonts w:ascii="Times New Roman" w:hAnsi="Times New Roman" w:cs="Times New Roman"/>
          <w:lang w:val="bg-BG"/>
        </w:rPr>
        <w:t>“</w:t>
      </w:r>
      <w:r w:rsidRPr="00DB4FBF">
        <w:rPr>
          <w:rFonts w:ascii="Times New Roman" w:hAnsi="Times New Roman" w:cs="Times New Roman"/>
          <w:lang w:val="bg-BG"/>
        </w:rPr>
        <w:t xml:space="preserve">Сума на Актива“ и „Сумата на Пасива“ е равна на </w:t>
      </w:r>
      <w:r w:rsidRPr="00DB4FBF">
        <w:rPr>
          <w:rFonts w:ascii="Times New Roman" w:hAnsi="Times New Roman" w:cs="Times New Roman"/>
          <w:lang w:val="bg-BG"/>
        </w:rPr>
        <w:t xml:space="preserve">„0“ не е възможно изчислението на показателите за оценка на финансов капацитет, тъй като на „0“ не се дели. В тези случаи ще се счита, че кандидатът има лоша финансова стабилност. </w:t>
      </w:r>
    </w:p>
    <w:p w14:paraId="223CB56E" w14:textId="087584EE" w:rsidR="00DB4FBF" w:rsidRPr="007632C1" w:rsidRDefault="00DB4FBF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27D12"/>
    <w:multiLevelType w:val="hybridMultilevel"/>
    <w:tmpl w:val="024465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D4CAA"/>
    <w:multiLevelType w:val="hybridMultilevel"/>
    <w:tmpl w:val="CB728D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2F2491F"/>
    <w:multiLevelType w:val="hybridMultilevel"/>
    <w:tmpl w:val="85EE69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4003D"/>
    <w:multiLevelType w:val="hybridMultilevel"/>
    <w:tmpl w:val="D7B27E1E"/>
    <w:lvl w:ilvl="0" w:tplc="039E1B3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4457983"/>
    <w:multiLevelType w:val="hybridMultilevel"/>
    <w:tmpl w:val="E4E49AD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6C2720B"/>
    <w:multiLevelType w:val="multilevel"/>
    <w:tmpl w:val="C644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074344"/>
    <w:multiLevelType w:val="hybridMultilevel"/>
    <w:tmpl w:val="D040B0A8"/>
    <w:lvl w:ilvl="0" w:tplc="10E80B4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8D65817"/>
    <w:multiLevelType w:val="hybridMultilevel"/>
    <w:tmpl w:val="4268100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67CA6B03"/>
    <w:multiLevelType w:val="hybridMultilevel"/>
    <w:tmpl w:val="38683AD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E015AA2"/>
    <w:multiLevelType w:val="hybridMultilevel"/>
    <w:tmpl w:val="39606E5A"/>
    <w:lvl w:ilvl="0" w:tplc="7D7A1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06A6C"/>
    <w:multiLevelType w:val="hybridMultilevel"/>
    <w:tmpl w:val="DC08AB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60"/>
    <w:rsid w:val="00011B1E"/>
    <w:rsid w:val="000229E1"/>
    <w:rsid w:val="00025870"/>
    <w:rsid w:val="00027A30"/>
    <w:rsid w:val="000330D5"/>
    <w:rsid w:val="00067A31"/>
    <w:rsid w:val="000A3D89"/>
    <w:rsid w:val="00102707"/>
    <w:rsid w:val="00106B39"/>
    <w:rsid w:val="0013793B"/>
    <w:rsid w:val="00162BE1"/>
    <w:rsid w:val="001B39F2"/>
    <w:rsid w:val="001D41F5"/>
    <w:rsid w:val="002101F3"/>
    <w:rsid w:val="0021304A"/>
    <w:rsid w:val="00213185"/>
    <w:rsid w:val="00225277"/>
    <w:rsid w:val="00265F3F"/>
    <w:rsid w:val="00275BB5"/>
    <w:rsid w:val="002A2527"/>
    <w:rsid w:val="002E05D6"/>
    <w:rsid w:val="00304175"/>
    <w:rsid w:val="00305095"/>
    <w:rsid w:val="00305CE0"/>
    <w:rsid w:val="003200C9"/>
    <w:rsid w:val="00380CB1"/>
    <w:rsid w:val="003A4DF2"/>
    <w:rsid w:val="003A6C0C"/>
    <w:rsid w:val="003E50D7"/>
    <w:rsid w:val="003E5162"/>
    <w:rsid w:val="003F4DBC"/>
    <w:rsid w:val="00417DCE"/>
    <w:rsid w:val="004313F7"/>
    <w:rsid w:val="00433628"/>
    <w:rsid w:val="0045595E"/>
    <w:rsid w:val="00471FC2"/>
    <w:rsid w:val="004770D3"/>
    <w:rsid w:val="00492ACD"/>
    <w:rsid w:val="004E0E1E"/>
    <w:rsid w:val="004E5D41"/>
    <w:rsid w:val="004F2B1C"/>
    <w:rsid w:val="00503CF2"/>
    <w:rsid w:val="00540FE6"/>
    <w:rsid w:val="00550B6F"/>
    <w:rsid w:val="00553A92"/>
    <w:rsid w:val="005611D9"/>
    <w:rsid w:val="005615DB"/>
    <w:rsid w:val="005751E8"/>
    <w:rsid w:val="0057652F"/>
    <w:rsid w:val="005964EE"/>
    <w:rsid w:val="005A2CD6"/>
    <w:rsid w:val="005B1B90"/>
    <w:rsid w:val="005C34ED"/>
    <w:rsid w:val="005C3D7A"/>
    <w:rsid w:val="005E0E81"/>
    <w:rsid w:val="005E1B50"/>
    <w:rsid w:val="005E77DC"/>
    <w:rsid w:val="006369D2"/>
    <w:rsid w:val="0066504F"/>
    <w:rsid w:val="006807BD"/>
    <w:rsid w:val="00683044"/>
    <w:rsid w:val="006939C0"/>
    <w:rsid w:val="006A5DDC"/>
    <w:rsid w:val="006B6427"/>
    <w:rsid w:val="0070247C"/>
    <w:rsid w:val="00720EC0"/>
    <w:rsid w:val="00722AEE"/>
    <w:rsid w:val="007352C8"/>
    <w:rsid w:val="00754AE5"/>
    <w:rsid w:val="007632C1"/>
    <w:rsid w:val="00786495"/>
    <w:rsid w:val="007A6DAD"/>
    <w:rsid w:val="007C36FB"/>
    <w:rsid w:val="007D4C04"/>
    <w:rsid w:val="007D739B"/>
    <w:rsid w:val="007E39A3"/>
    <w:rsid w:val="007E79C0"/>
    <w:rsid w:val="00811432"/>
    <w:rsid w:val="00814F7A"/>
    <w:rsid w:val="0082006C"/>
    <w:rsid w:val="00826A81"/>
    <w:rsid w:val="00852E58"/>
    <w:rsid w:val="00853BE3"/>
    <w:rsid w:val="0088737F"/>
    <w:rsid w:val="008909E8"/>
    <w:rsid w:val="008951F9"/>
    <w:rsid w:val="008C4A97"/>
    <w:rsid w:val="008C56E2"/>
    <w:rsid w:val="00901460"/>
    <w:rsid w:val="0090257B"/>
    <w:rsid w:val="009264A6"/>
    <w:rsid w:val="0095511D"/>
    <w:rsid w:val="00970883"/>
    <w:rsid w:val="00996CD1"/>
    <w:rsid w:val="009B105C"/>
    <w:rsid w:val="009B6BA8"/>
    <w:rsid w:val="009C1D21"/>
    <w:rsid w:val="009E4DD1"/>
    <w:rsid w:val="009E6616"/>
    <w:rsid w:val="009F4130"/>
    <w:rsid w:val="009F7052"/>
    <w:rsid w:val="00A12002"/>
    <w:rsid w:val="00A17257"/>
    <w:rsid w:val="00A95996"/>
    <w:rsid w:val="00AC30D9"/>
    <w:rsid w:val="00AC6E83"/>
    <w:rsid w:val="00B1472B"/>
    <w:rsid w:val="00B25DEA"/>
    <w:rsid w:val="00B32AEB"/>
    <w:rsid w:val="00B4461E"/>
    <w:rsid w:val="00B52A78"/>
    <w:rsid w:val="00B54B0F"/>
    <w:rsid w:val="00B60166"/>
    <w:rsid w:val="00B938A0"/>
    <w:rsid w:val="00BA0182"/>
    <w:rsid w:val="00BA11D9"/>
    <w:rsid w:val="00BC1167"/>
    <w:rsid w:val="00BD3655"/>
    <w:rsid w:val="00BE205E"/>
    <w:rsid w:val="00BF0B9A"/>
    <w:rsid w:val="00BF6ADB"/>
    <w:rsid w:val="00C01AC6"/>
    <w:rsid w:val="00C4321A"/>
    <w:rsid w:val="00C46FB4"/>
    <w:rsid w:val="00C502A1"/>
    <w:rsid w:val="00C67A42"/>
    <w:rsid w:val="00CD0E4E"/>
    <w:rsid w:val="00CD287E"/>
    <w:rsid w:val="00CF1C47"/>
    <w:rsid w:val="00D10335"/>
    <w:rsid w:val="00D12140"/>
    <w:rsid w:val="00D274CD"/>
    <w:rsid w:val="00D56C7A"/>
    <w:rsid w:val="00D84194"/>
    <w:rsid w:val="00D86AD8"/>
    <w:rsid w:val="00D90B7C"/>
    <w:rsid w:val="00DB4FBF"/>
    <w:rsid w:val="00DC3F1E"/>
    <w:rsid w:val="00DC6AA5"/>
    <w:rsid w:val="00DE6775"/>
    <w:rsid w:val="00E15C50"/>
    <w:rsid w:val="00E22BC2"/>
    <w:rsid w:val="00E2541E"/>
    <w:rsid w:val="00E441C4"/>
    <w:rsid w:val="00E83B40"/>
    <w:rsid w:val="00E976B1"/>
    <w:rsid w:val="00EB2D52"/>
    <w:rsid w:val="00EB5323"/>
    <w:rsid w:val="00ED38A4"/>
    <w:rsid w:val="00F10A5B"/>
    <w:rsid w:val="00F1576F"/>
    <w:rsid w:val="00F26120"/>
    <w:rsid w:val="00F31669"/>
    <w:rsid w:val="00F34A34"/>
    <w:rsid w:val="00F37934"/>
    <w:rsid w:val="00F52830"/>
    <w:rsid w:val="00F63B61"/>
    <w:rsid w:val="00F66FFC"/>
    <w:rsid w:val="00F72A0E"/>
    <w:rsid w:val="00FA5939"/>
    <w:rsid w:val="00FC19CB"/>
    <w:rsid w:val="00FD2C44"/>
    <w:rsid w:val="00FD54FA"/>
    <w:rsid w:val="00FE2517"/>
    <w:rsid w:val="00FF2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8F39"/>
  <w15:docId w15:val="{BCB7D83C-6469-4F8D-824E-11151D55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OGO">
    <w:name w:val="GOGO"/>
    <w:basedOn w:val="Normal"/>
    <w:qFormat/>
    <w:rsid w:val="00D12140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GB" w:eastAsia="bg-BG"/>
    </w:rPr>
  </w:style>
  <w:style w:type="paragraph" w:styleId="ListParagraph">
    <w:name w:val="List Paragraph"/>
    <w:aliases w:val="List Paragraph1,List1,List Paragraph11,List Paragraph111,Colorful List - Accent 11,List Paragraph1111"/>
    <w:basedOn w:val="Normal"/>
    <w:link w:val="ListParagraphChar"/>
    <w:qFormat/>
    <w:rsid w:val="0090146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B39F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8A0"/>
  </w:style>
  <w:style w:type="paragraph" w:styleId="Footer">
    <w:name w:val="footer"/>
    <w:basedOn w:val="Normal"/>
    <w:link w:val="FooterChar"/>
    <w:uiPriority w:val="99"/>
    <w:unhideWhenUsed/>
    <w:rsid w:val="00B938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8A0"/>
  </w:style>
  <w:style w:type="character" w:styleId="CommentReference">
    <w:name w:val="annotation reference"/>
    <w:basedOn w:val="DefaultParagraphFont"/>
    <w:uiPriority w:val="99"/>
    <w:semiHidden/>
    <w:unhideWhenUsed/>
    <w:rsid w:val="00F34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A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A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A3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E05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5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5D6"/>
    <w:rPr>
      <w:vertAlign w:val="superscript"/>
    </w:rPr>
  </w:style>
  <w:style w:type="character" w:customStyle="1" w:styleId="ListParagraphChar">
    <w:name w:val="List Paragraph Char"/>
    <w:aliases w:val="List Paragraph1 Char,List1 Char,List Paragraph11 Char,List Paragraph111 Char,Colorful List - Accent 11 Char,List Paragraph1111 Char"/>
    <w:link w:val="ListParagraph"/>
    <w:locked/>
    <w:rsid w:val="00FD2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0ED26-8A50-4202-B081-AC93F776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Georgi Gerov</dc:creator>
  <cp:lastModifiedBy>sevda nikiforova</cp:lastModifiedBy>
  <cp:revision>10</cp:revision>
  <dcterms:created xsi:type="dcterms:W3CDTF">2019-03-12T08:14:00Z</dcterms:created>
  <dcterms:modified xsi:type="dcterms:W3CDTF">2020-10-30T08:09:00Z</dcterms:modified>
</cp:coreProperties>
</file>